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5A81" w14:textId="7F415CED" w:rsidR="006A3542" w:rsidRPr="001F476C" w:rsidRDefault="006A3542" w:rsidP="001C0B61">
      <w:pPr>
        <w:pStyle w:val="Akapitzlist"/>
        <w:numPr>
          <w:ilvl w:val="0"/>
          <w:numId w:val="1"/>
        </w:numPr>
        <w:spacing w:before="240" w:after="0" w:line="276" w:lineRule="auto"/>
        <w:ind w:left="714" w:hanging="357"/>
        <w:contextualSpacing w:val="0"/>
        <w:jc w:val="both"/>
        <w:rPr>
          <w:b/>
          <w:bCs/>
          <w:color w:val="000000" w:themeColor="text1"/>
        </w:rPr>
      </w:pPr>
      <w:r w:rsidRPr="001F476C">
        <w:rPr>
          <w:b/>
          <w:bCs/>
          <w:color w:val="000000" w:themeColor="text1"/>
        </w:rPr>
        <w:t>Wymagania dotyczące projektowanej Stacji ładowania:</w:t>
      </w:r>
    </w:p>
    <w:p w14:paraId="1FDBEA17" w14:textId="2DF01FF6" w:rsidR="00EB3123" w:rsidRPr="001F476C" w:rsidRDefault="00EB3123" w:rsidP="00EB3123">
      <w:pPr>
        <w:pStyle w:val="Akapitzlist"/>
        <w:spacing w:line="276" w:lineRule="auto"/>
        <w:rPr>
          <w:b/>
          <w:bCs/>
          <w:color w:val="000000" w:themeColor="text1"/>
        </w:rPr>
      </w:pPr>
      <w:r w:rsidRPr="001F476C">
        <w:rPr>
          <w:b/>
          <w:bCs/>
          <w:color w:val="000000" w:themeColor="text1"/>
        </w:rPr>
        <w:t>Stacja ładowani</w:t>
      </w:r>
      <w:r w:rsidR="00BE0AAC" w:rsidRPr="001F476C">
        <w:rPr>
          <w:b/>
          <w:bCs/>
          <w:color w:val="000000" w:themeColor="text1"/>
        </w:rPr>
        <w:t xml:space="preserve">a wolnostojąca </w:t>
      </w:r>
      <w:r w:rsidRPr="001F476C">
        <w:rPr>
          <w:b/>
          <w:bCs/>
          <w:color w:val="000000" w:themeColor="text1"/>
        </w:rPr>
        <w:t xml:space="preserve"> </w:t>
      </w:r>
    </w:p>
    <w:p w14:paraId="507714E8" w14:textId="54BD3AFF" w:rsidR="00692132" w:rsidRDefault="00692132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Moc stacji </w:t>
      </w:r>
      <w:r w:rsidR="006C4C2D">
        <w:rPr>
          <w:color w:val="000000" w:themeColor="text1"/>
        </w:rPr>
        <w:t>12</w:t>
      </w:r>
      <w:r w:rsidR="00FA1D11">
        <w:rPr>
          <w:color w:val="000000" w:themeColor="text1"/>
        </w:rPr>
        <w:t>0</w:t>
      </w:r>
      <w:r>
        <w:rPr>
          <w:color w:val="000000" w:themeColor="text1"/>
        </w:rPr>
        <w:t xml:space="preserve">KW </w:t>
      </w:r>
    </w:p>
    <w:p w14:paraId="6442C67C" w14:textId="447B7CFF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Napięcie 3 x 400 V, 50 Hz</w:t>
      </w:r>
    </w:p>
    <w:p w14:paraId="70C55C49" w14:textId="235BE386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Układ sieci TN-C, TN-S, TN-C-S, </w:t>
      </w:r>
    </w:p>
    <w:p w14:paraId="5E72432B" w14:textId="121C2CC6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Długość kabli  - 2xCCS </w:t>
      </w:r>
      <w:r w:rsidR="00BE0AAC" w:rsidRPr="001F476C">
        <w:rPr>
          <w:color w:val="000000" w:themeColor="text1"/>
        </w:rPr>
        <w:t xml:space="preserve">6 </w:t>
      </w:r>
      <w:r w:rsidRPr="001F476C">
        <w:rPr>
          <w:color w:val="000000" w:themeColor="text1"/>
        </w:rPr>
        <w:t xml:space="preserve">m  </w:t>
      </w:r>
      <w:r w:rsidR="00FA1D11">
        <w:rPr>
          <w:color w:val="000000" w:themeColor="text1"/>
        </w:rPr>
        <w:t xml:space="preserve">+ </w:t>
      </w:r>
      <w:r w:rsidRPr="001F476C">
        <w:rPr>
          <w:color w:val="000000" w:themeColor="text1"/>
        </w:rPr>
        <w:t xml:space="preserve">1 x AC 22Kw </w:t>
      </w:r>
      <w:r w:rsidR="001C0B61" w:rsidRPr="001F476C">
        <w:rPr>
          <w:color w:val="000000" w:themeColor="text1"/>
        </w:rPr>
        <w:t>5m</w:t>
      </w:r>
      <w:r w:rsidR="00FA1D11">
        <w:rPr>
          <w:color w:val="000000" w:themeColor="text1"/>
        </w:rPr>
        <w:t xml:space="preserve"> (awaryjne ładowanie) </w:t>
      </w:r>
      <w:r w:rsidR="00692132">
        <w:rPr>
          <w:color w:val="000000" w:themeColor="text1"/>
        </w:rPr>
        <w:t xml:space="preserve"> system automatycznego </w:t>
      </w:r>
      <w:r w:rsidR="00FA1D11">
        <w:rPr>
          <w:color w:val="000000" w:themeColor="text1"/>
        </w:rPr>
        <w:t>o</w:t>
      </w:r>
      <w:r w:rsidR="00692132">
        <w:rPr>
          <w:color w:val="000000" w:themeColor="text1"/>
        </w:rPr>
        <w:t>dwieszani</w:t>
      </w:r>
      <w:r w:rsidR="00FA1D11">
        <w:rPr>
          <w:color w:val="000000" w:themeColor="text1"/>
        </w:rPr>
        <w:t>a</w:t>
      </w:r>
      <w:r w:rsidR="00692132">
        <w:rPr>
          <w:color w:val="000000" w:themeColor="text1"/>
        </w:rPr>
        <w:t xml:space="preserve"> kabli. </w:t>
      </w:r>
    </w:p>
    <w:p w14:paraId="6087C321" w14:textId="31028F89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Autoryzacja ładowania – RfiD, OCPP, PIN</w:t>
      </w:r>
      <w:r w:rsidR="00BE0AAC" w:rsidRPr="001F476C">
        <w:rPr>
          <w:color w:val="000000" w:themeColor="text1"/>
        </w:rPr>
        <w:t>, Czytnik kart płatniczych</w:t>
      </w:r>
    </w:p>
    <w:p w14:paraId="6F5AC1D1" w14:textId="1137DA1E" w:rsidR="00C87EAA" w:rsidRPr="001F476C" w:rsidRDefault="00EB3123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Komunikacja z użytkownikiem - panel dotykowy</w:t>
      </w:r>
      <w:r w:rsidR="001C0B61" w:rsidRPr="001F476C">
        <w:rPr>
          <w:color w:val="000000" w:themeColor="text1"/>
        </w:rPr>
        <w:t xml:space="preserve"> 1</w:t>
      </w:r>
      <w:r w:rsidR="00BE0AAC" w:rsidRPr="001F476C">
        <w:rPr>
          <w:color w:val="000000" w:themeColor="text1"/>
        </w:rPr>
        <w:t>5</w:t>
      </w:r>
      <w:r w:rsidR="001C0B61" w:rsidRPr="001F476C">
        <w:rPr>
          <w:color w:val="000000" w:themeColor="text1"/>
        </w:rPr>
        <w:t>.</w:t>
      </w:r>
      <w:r w:rsidR="00BE0AAC" w:rsidRPr="001F476C">
        <w:rPr>
          <w:color w:val="000000" w:themeColor="text1"/>
        </w:rPr>
        <w:t>6</w:t>
      </w:r>
      <w:r w:rsidR="001C0B61" w:rsidRPr="001F476C">
        <w:rPr>
          <w:color w:val="000000" w:themeColor="text1"/>
        </w:rPr>
        <w:t>"</w:t>
      </w:r>
      <w:r w:rsidR="00CE4E99" w:rsidRPr="001F476C">
        <w:rPr>
          <w:color w:val="000000" w:themeColor="text1"/>
        </w:rPr>
        <w:t xml:space="preserve"> </w:t>
      </w:r>
      <w:r w:rsidR="001C0B61" w:rsidRPr="001F476C">
        <w:rPr>
          <w:color w:val="000000" w:themeColor="text1"/>
        </w:rPr>
        <w:t xml:space="preserve"> z wyświetloną instrukcją ładowania, ik 08,</w:t>
      </w:r>
      <w:r w:rsidR="00A040AE" w:rsidRPr="001F476C">
        <w:rPr>
          <w:color w:val="000000" w:themeColor="text1"/>
        </w:rPr>
        <w:t xml:space="preserve"> </w:t>
      </w:r>
      <w:r w:rsidR="00CE4E99" w:rsidRPr="001F476C">
        <w:rPr>
          <w:color w:val="000000" w:themeColor="text1"/>
        </w:rPr>
        <w:t>&gt;</w:t>
      </w:r>
      <w:r w:rsidR="001C0B61" w:rsidRPr="001F476C">
        <w:rPr>
          <w:color w:val="000000" w:themeColor="text1"/>
        </w:rPr>
        <w:t xml:space="preserve"> </w:t>
      </w:r>
      <w:r w:rsidR="00CE4E99" w:rsidRPr="001F476C">
        <w:rPr>
          <w:color w:val="000000" w:themeColor="text1"/>
        </w:rPr>
        <w:t>8</w:t>
      </w:r>
      <w:r w:rsidR="001C0B61" w:rsidRPr="001F476C">
        <w:rPr>
          <w:color w:val="000000" w:themeColor="text1"/>
        </w:rPr>
        <w:t>00 nit</w:t>
      </w:r>
      <w:r w:rsidR="00A040AE" w:rsidRPr="001F476C">
        <w:rPr>
          <w:color w:val="000000" w:themeColor="text1"/>
        </w:rPr>
        <w:t xml:space="preserve">. Interfejs użytkownika w min. czterech językach (polskim, angielskim, </w:t>
      </w:r>
      <w:r w:rsidR="00CE4E99" w:rsidRPr="001F476C">
        <w:rPr>
          <w:color w:val="000000" w:themeColor="text1"/>
        </w:rPr>
        <w:t>u</w:t>
      </w:r>
      <w:r w:rsidR="00A040AE" w:rsidRPr="001F476C">
        <w:rPr>
          <w:color w:val="000000" w:themeColor="text1"/>
        </w:rPr>
        <w:t>kraińskim, niemiecki).</w:t>
      </w:r>
      <w:r w:rsidR="00C87EAA" w:rsidRPr="001F476C">
        <w:rPr>
          <w:color w:val="000000" w:themeColor="text1"/>
        </w:rPr>
        <w:t xml:space="preserve"> Z wyświetlaniem wykresu ładowania na ekranie po zakończeniu sesji ładowania.</w:t>
      </w:r>
    </w:p>
    <w:p w14:paraId="7515ED84" w14:textId="7B5FE32F" w:rsidR="003079EB" w:rsidRPr="001F476C" w:rsidRDefault="003079EB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Możliwość lokalnej zmiany prądu ładowania.</w:t>
      </w:r>
    </w:p>
    <w:p w14:paraId="71A526BE" w14:textId="3319C0F5" w:rsidR="003079EB" w:rsidRPr="001F476C" w:rsidRDefault="003079EB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Możliwość personalizacji ekranu użytkownika</w:t>
      </w:r>
    </w:p>
    <w:p w14:paraId="69827C75" w14:textId="02197447" w:rsidR="00B429AD" w:rsidRPr="001F476C" w:rsidRDefault="00B429AD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Wbudowany wygaszacz ekranu  z możliwością lokalnego wyświetlania reklam</w:t>
      </w:r>
    </w:p>
    <w:p w14:paraId="72F3E236" w14:textId="3AA71A05" w:rsidR="00B429AD" w:rsidRDefault="00B429AD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Wbudowany odbiornik GPS zapewnia bezpieczeństwo i precyzyjne pozycjonowanie.</w:t>
      </w:r>
    </w:p>
    <w:p w14:paraId="1B833E79" w14:textId="1F61FBC7" w:rsidR="00FA1D11" w:rsidRPr="001F476C" w:rsidRDefault="00FA1D11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System wykrywania przecięcia/odcięcia przewodów ładujących DC CCS wraz z syreną alarmową minimum 100dB.Po odcięciu przewodów syrena ma załączyć się bezzwłocznie a jej wyłącznie może nastąpić tylko przez osoby uprawione za pomocą hasła serwisowego. Syrena musi mieć zasilanie rezerwowe i działać nawet w przypadku gdy stacja utraciła zasilanie. </w:t>
      </w:r>
    </w:p>
    <w:p w14:paraId="173A91DB" w14:textId="29620114" w:rsidR="00EB3123" w:rsidRPr="001F476C" w:rsidRDefault="00EB3123" w:rsidP="00F3591F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Protokół komunikacyjny - OCPP 1.6 JSON</w:t>
      </w:r>
      <w:r w:rsidR="00746E53" w:rsidRPr="001F476C">
        <w:rPr>
          <w:color w:val="000000" w:themeColor="text1"/>
        </w:rPr>
        <w:t xml:space="preserve"> (z profilami Smart Charging</w:t>
      </w:r>
      <w:r w:rsidR="00BE0AAC" w:rsidRPr="001F476C">
        <w:rPr>
          <w:color w:val="000000" w:themeColor="text1"/>
        </w:rPr>
        <w:t xml:space="preserve"> oraz </w:t>
      </w:r>
      <w:r w:rsidR="00746E53" w:rsidRPr="001F476C">
        <w:rPr>
          <w:color w:val="000000" w:themeColor="text1"/>
        </w:rPr>
        <w:t>. OCCP 2.01</w:t>
      </w:r>
    </w:p>
    <w:p w14:paraId="3CFA3050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Kompatybilność elektromagnetyczna - PN-EN-IEC-61000-6-4-2019</w:t>
      </w:r>
    </w:p>
    <w:p w14:paraId="651C37EA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Sprawność - 96% </w:t>
      </w:r>
    </w:p>
    <w:p w14:paraId="0699F775" w14:textId="7E2A1D10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Dzielenie mocy : </w:t>
      </w:r>
      <w:r w:rsidR="00A40300" w:rsidRPr="001F476C">
        <w:rPr>
          <w:color w:val="000000" w:themeColor="text1"/>
        </w:rPr>
        <w:t>50</w:t>
      </w:r>
      <w:r w:rsidRPr="001F476C">
        <w:rPr>
          <w:color w:val="000000" w:themeColor="text1"/>
        </w:rPr>
        <w:t>/</w:t>
      </w:r>
      <w:r w:rsidR="00A40300" w:rsidRPr="001F476C">
        <w:rPr>
          <w:color w:val="000000" w:themeColor="text1"/>
        </w:rPr>
        <w:t>5</w:t>
      </w:r>
      <w:r w:rsidRPr="001F476C">
        <w:rPr>
          <w:color w:val="000000" w:themeColor="text1"/>
        </w:rPr>
        <w:t>0</w:t>
      </w:r>
    </w:p>
    <w:p w14:paraId="5BB7091C" w14:textId="56623BA3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Komunikacja: 2X LTE (jeden na potrzeby OCPP drugi na potrzeby  komunikacji serwisowej , </w:t>
      </w:r>
      <w:r w:rsidR="00A40300" w:rsidRPr="001F476C">
        <w:rPr>
          <w:color w:val="000000" w:themeColor="text1"/>
        </w:rPr>
        <w:t>2</w:t>
      </w:r>
      <w:r w:rsidR="0082729C" w:rsidRPr="001F476C">
        <w:rPr>
          <w:color w:val="000000" w:themeColor="text1"/>
        </w:rPr>
        <w:t>x LAN, RS485, WIFI</w:t>
      </w:r>
      <w:r w:rsidR="001959AF" w:rsidRPr="001F476C">
        <w:rPr>
          <w:color w:val="000000" w:themeColor="text1"/>
        </w:rPr>
        <w:t>.</w:t>
      </w:r>
    </w:p>
    <w:p w14:paraId="2D755865" w14:textId="1753FC01" w:rsidR="00BE0AAC" w:rsidRPr="001F476C" w:rsidRDefault="00BE0AAC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Współczynnik mocy dla obciążenia większe niż 1/3 ≥ 0.99</w:t>
      </w:r>
    </w:p>
    <w:p w14:paraId="57A8E07D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Stopień ochrony - IP 54, IK 10</w:t>
      </w:r>
    </w:p>
    <w:p w14:paraId="3BC0F853" w14:textId="5F7C4F21" w:rsidR="001959AF" w:rsidRPr="001F476C" w:rsidRDefault="001959AF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Temperatura pracy </w:t>
      </w:r>
      <w:r w:rsidR="004E3E67" w:rsidRPr="001F476C">
        <w:rPr>
          <w:color w:val="000000" w:themeColor="text1"/>
        </w:rPr>
        <w:t>od -35 °C do +55 °C</w:t>
      </w:r>
    </w:p>
    <w:p w14:paraId="04B8F793" w14:textId="002F52D6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Stan ładowania: wizualizacja na ekranie oraz </w:t>
      </w:r>
      <w:r w:rsidR="001959AF" w:rsidRPr="001F476C">
        <w:rPr>
          <w:color w:val="000000" w:themeColor="text1"/>
        </w:rPr>
        <w:t>paskach</w:t>
      </w:r>
      <w:r w:rsidRPr="001F476C">
        <w:rPr>
          <w:color w:val="000000" w:themeColor="text1"/>
        </w:rPr>
        <w:t xml:space="preserve"> led </w:t>
      </w:r>
    </w:p>
    <w:p w14:paraId="2D642EBC" w14:textId="29617179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Stany stacji wyświetlane na paskach led: awarie, podłączony samochód, stan naładowania samochodu, błąd</w:t>
      </w:r>
      <w:r w:rsidR="00C87EAA" w:rsidRPr="001F476C">
        <w:rPr>
          <w:color w:val="000000" w:themeColor="text1"/>
        </w:rPr>
        <w:t>, poziom naładowania</w:t>
      </w:r>
    </w:p>
    <w:p w14:paraId="7761BC22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Porty rozszerzające: LAN, USB, HDMI, RS485</w:t>
      </w:r>
    </w:p>
    <w:p w14:paraId="62D85CD8" w14:textId="1C1C29CA" w:rsidR="00945850" w:rsidRPr="001F476C" w:rsidRDefault="00945850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Zintegrowany z obudową system gaszenia pożaru powstałego wewnątrz stacji. System ma automatycznie wykrywać ogień powstały wewnątrz stacji i gasić go przez zabranie tlenu wewnątrz stacji. System gaszenia nie możesz rozprowadzać piany, proszku lub innego środka gaśniczego który mógłby powodować uszkodzenie lub zabrudzanie elementów wewnątrz stacji.  </w:t>
      </w:r>
      <w:r w:rsidR="00FA1D11">
        <w:rPr>
          <w:color w:val="000000" w:themeColor="text1"/>
        </w:rPr>
        <w:t xml:space="preserve">Zabrania się stosowania gaśnic wewnątrz stacji. </w:t>
      </w:r>
    </w:p>
    <w:p w14:paraId="361F5448" w14:textId="2381E24E" w:rsidR="001131BB" w:rsidRPr="001F476C" w:rsidRDefault="001131BB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Moc bierna - stacja ładowania nie </w:t>
      </w:r>
      <w:r w:rsidR="0096551C" w:rsidRPr="001F476C">
        <w:rPr>
          <w:color w:val="000000" w:themeColor="text1"/>
        </w:rPr>
        <w:t>może generować</w:t>
      </w:r>
      <w:r w:rsidRPr="001F476C">
        <w:rPr>
          <w:color w:val="000000" w:themeColor="text1"/>
        </w:rPr>
        <w:t xml:space="preserve"> mocy biernej w trybie „standby”</w:t>
      </w:r>
      <w:r w:rsidR="0096551C" w:rsidRPr="001F476C">
        <w:rPr>
          <w:color w:val="000000" w:themeColor="text1"/>
        </w:rPr>
        <w:t xml:space="preserve"> </w:t>
      </w:r>
      <w:r w:rsidR="00847568" w:rsidRPr="001F476C">
        <w:rPr>
          <w:color w:val="000000" w:themeColor="text1"/>
        </w:rPr>
        <w:t>i podczas ładowania z maksymalną mocą  (&lt;1KVar).</w:t>
      </w:r>
    </w:p>
    <w:p w14:paraId="05A4DBA5" w14:textId="69E04667" w:rsidR="00D80631" w:rsidRPr="001F476C" w:rsidRDefault="00D80631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Komunikacja pojazd - stacja EV - za pomocą protokołu ISO 15118, gotowy do Plug &amp; Charge</w:t>
      </w:r>
    </w:p>
    <w:p w14:paraId="57965805" w14:textId="612E81B0" w:rsidR="00BE4C90" w:rsidRPr="001F476C" w:rsidRDefault="00BE4C90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Emisja hałasu - &lt; 6</w:t>
      </w:r>
      <w:r w:rsidR="00BE0AAC" w:rsidRPr="001F476C">
        <w:rPr>
          <w:color w:val="000000" w:themeColor="text1"/>
        </w:rPr>
        <w:t>0</w:t>
      </w:r>
      <w:r w:rsidRPr="001F476C">
        <w:rPr>
          <w:color w:val="000000" w:themeColor="text1"/>
        </w:rPr>
        <w:t xml:space="preserve"> dB </w:t>
      </w:r>
    </w:p>
    <w:p w14:paraId="171DD9EE" w14:textId="4963E57A" w:rsidR="0046116F" w:rsidRPr="001F476C" w:rsidRDefault="008C31CF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Zaimplementowane</w:t>
      </w:r>
      <w:r w:rsidR="00847568" w:rsidRPr="001F476C">
        <w:rPr>
          <w:color w:val="000000" w:themeColor="text1"/>
        </w:rPr>
        <w:t xml:space="preserve"> dynamiczn</w:t>
      </w:r>
      <w:r>
        <w:rPr>
          <w:color w:val="000000" w:themeColor="text1"/>
        </w:rPr>
        <w:t>e</w:t>
      </w:r>
      <w:r w:rsidR="00847568" w:rsidRPr="001F476C">
        <w:rPr>
          <w:color w:val="000000" w:themeColor="text1"/>
        </w:rPr>
        <w:t xml:space="preserve"> zarządzania  </w:t>
      </w:r>
      <w:r w:rsidR="0046116F" w:rsidRPr="001F476C">
        <w:rPr>
          <w:color w:val="000000" w:themeColor="text1"/>
        </w:rPr>
        <w:t>mocą grupy stacji z zewnętrznym urządzaniem mierzącym aktualne zapotrzebowanie obiektu i stacji ładowania</w:t>
      </w:r>
      <w:r w:rsidR="0096551C" w:rsidRPr="001F476C">
        <w:rPr>
          <w:color w:val="000000" w:themeColor="text1"/>
        </w:rPr>
        <w:t>,</w:t>
      </w:r>
      <w:r w:rsidR="0046116F" w:rsidRPr="001F476C">
        <w:rPr>
          <w:color w:val="000000" w:themeColor="text1"/>
        </w:rPr>
        <w:t xml:space="preserve"> dzielącego w czasie rzeczywistym dostępną moc umowną</w:t>
      </w:r>
      <w:r w:rsidR="00C87EAA" w:rsidRPr="001F476C">
        <w:rPr>
          <w:color w:val="000000" w:themeColor="text1"/>
        </w:rPr>
        <w:t>,</w:t>
      </w:r>
      <w:r w:rsidR="0046116F" w:rsidRPr="001F476C">
        <w:rPr>
          <w:color w:val="000000" w:themeColor="text1"/>
        </w:rPr>
        <w:t xml:space="preserve"> </w:t>
      </w:r>
      <w:r w:rsidR="00C87EAA" w:rsidRPr="001F476C">
        <w:rPr>
          <w:color w:val="000000" w:themeColor="text1"/>
        </w:rPr>
        <w:t>lub grupa stacji z wykorzystaniem stacji Master przy znanym obciążeniu;</w:t>
      </w:r>
    </w:p>
    <w:p w14:paraId="1ACC390A" w14:textId="14F13753" w:rsidR="00D80631" w:rsidRPr="001F476C" w:rsidRDefault="00D80631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Dostarczone stacje musz</w:t>
      </w:r>
      <w:r w:rsidR="0096551C" w:rsidRPr="001F476C">
        <w:rPr>
          <w:color w:val="000000" w:themeColor="text1"/>
        </w:rPr>
        <w:t>ą</w:t>
      </w:r>
      <w:r w:rsidRPr="001F476C">
        <w:rPr>
          <w:color w:val="000000" w:themeColor="text1"/>
        </w:rPr>
        <w:t xml:space="preserve"> być wyprodukowane w europejskim obszarze gospodarczym. </w:t>
      </w:r>
    </w:p>
    <w:p w14:paraId="7B7B5C62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Sterowanie mocą: dynamicznie rozdzielana moc pomiędzy portami ładowania</w:t>
      </w:r>
    </w:p>
    <w:p w14:paraId="46941B81" w14:textId="5DD299AB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Zabezpieczenia elektryczne: Kontrola uziemienia, kontrola </w:t>
      </w:r>
      <w:r w:rsidR="00566F93" w:rsidRPr="001F476C">
        <w:rPr>
          <w:color w:val="000000" w:themeColor="text1"/>
        </w:rPr>
        <w:t>obecności napięcia wejściowego</w:t>
      </w:r>
      <w:r w:rsidRPr="001F476C">
        <w:rPr>
          <w:color w:val="000000" w:themeColor="text1"/>
        </w:rPr>
        <w:t>, kontrola działania RCD B i zabezpieczeni</w:t>
      </w:r>
      <w:r w:rsidR="00566F93" w:rsidRPr="001F476C">
        <w:rPr>
          <w:color w:val="000000" w:themeColor="text1"/>
        </w:rPr>
        <w:t>a</w:t>
      </w:r>
      <w:r w:rsidRPr="001F476C">
        <w:rPr>
          <w:color w:val="000000" w:themeColor="text1"/>
        </w:rPr>
        <w:t xml:space="preserve"> </w:t>
      </w:r>
      <w:r w:rsidR="00566F93" w:rsidRPr="001F476C">
        <w:rPr>
          <w:color w:val="000000" w:themeColor="text1"/>
        </w:rPr>
        <w:t>nadmiarowo</w:t>
      </w:r>
      <w:r w:rsidRPr="001F476C">
        <w:rPr>
          <w:color w:val="000000" w:themeColor="text1"/>
        </w:rPr>
        <w:t>prądowe</w:t>
      </w:r>
      <w:r w:rsidR="00566F93" w:rsidRPr="001F476C">
        <w:rPr>
          <w:color w:val="000000" w:themeColor="text1"/>
        </w:rPr>
        <w:t xml:space="preserve"> po AC.</w:t>
      </w:r>
      <w:r w:rsidRPr="001F476C">
        <w:rPr>
          <w:color w:val="000000" w:themeColor="text1"/>
        </w:rPr>
        <w:t xml:space="preserve"> </w:t>
      </w:r>
    </w:p>
    <w:p w14:paraId="3AF0001A" w14:textId="0845630C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Odporność na awarie: automatyczne wycofanie uszkodzonego modułu i możliwość kontynuowania pracy stacji na pozostałych modułach.  </w:t>
      </w:r>
      <w:r w:rsidR="0096551C" w:rsidRPr="001F476C">
        <w:rPr>
          <w:color w:val="000000" w:themeColor="text1"/>
        </w:rPr>
        <w:t xml:space="preserve">Oddzielne </w:t>
      </w:r>
      <w:r w:rsidRPr="001F476C">
        <w:rPr>
          <w:color w:val="000000" w:themeColor="text1"/>
        </w:rPr>
        <w:t>Zabezpieczenie nadprądowe i różnicowoprądowe dla każdego modułu mocy tak aby w przypadku awarii jednego modułu mocy automatycznie zostawał on wycofywany a stacja działał normalnie  na pozostałych modułach.</w:t>
      </w:r>
    </w:p>
    <w:p w14:paraId="62D0A7F2" w14:textId="27ED18B7" w:rsidR="00CE4E99" w:rsidRPr="001F476C" w:rsidRDefault="00CE4E99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WYKRYWANIE BRAKU NAPIECIA SIECIOWEGO Gdy </w:t>
      </w:r>
      <w:r w:rsidR="00FA1D11" w:rsidRPr="001F476C">
        <w:rPr>
          <w:color w:val="000000" w:themeColor="text1"/>
        </w:rPr>
        <w:t>ładowanie</w:t>
      </w:r>
      <w:r w:rsidRPr="001F476C">
        <w:rPr>
          <w:color w:val="000000" w:themeColor="text1"/>
        </w:rPr>
        <w:t xml:space="preserve"> zostanie przerwane np. z powodu awarii sieci, stacja posiada zasilanie </w:t>
      </w:r>
      <w:r w:rsidR="00B429AD" w:rsidRPr="001F476C">
        <w:rPr>
          <w:color w:val="000000" w:themeColor="text1"/>
        </w:rPr>
        <w:t>awaryjne</w:t>
      </w:r>
      <w:r w:rsidRPr="001F476C">
        <w:rPr>
          <w:color w:val="000000" w:themeColor="text1"/>
        </w:rPr>
        <w:t xml:space="preserve">, </w:t>
      </w:r>
      <w:r w:rsidR="00B429AD" w:rsidRPr="001F476C">
        <w:rPr>
          <w:color w:val="000000" w:themeColor="text1"/>
        </w:rPr>
        <w:t>dzięki</w:t>
      </w:r>
      <w:r w:rsidRPr="001F476C">
        <w:rPr>
          <w:color w:val="000000" w:themeColor="text1"/>
        </w:rPr>
        <w:t xml:space="preserve"> czemu. system poinformuje </w:t>
      </w:r>
      <w:r w:rsidR="00B429AD" w:rsidRPr="001F476C">
        <w:rPr>
          <w:color w:val="000000" w:themeColor="text1"/>
        </w:rPr>
        <w:t>użytkownika</w:t>
      </w:r>
      <w:r w:rsidRPr="001F476C">
        <w:rPr>
          <w:color w:val="000000" w:themeColor="text1"/>
        </w:rPr>
        <w:t xml:space="preserve"> o </w:t>
      </w:r>
      <w:r w:rsidR="00B429AD" w:rsidRPr="001F476C">
        <w:rPr>
          <w:color w:val="000000" w:themeColor="text1"/>
        </w:rPr>
        <w:t>zaistniałej</w:t>
      </w:r>
      <w:r w:rsidRPr="001F476C">
        <w:rPr>
          <w:color w:val="000000" w:themeColor="text1"/>
        </w:rPr>
        <w:t xml:space="preserve"> sytuacji oraz automatycznie </w:t>
      </w:r>
      <w:r w:rsidR="00B429AD" w:rsidRPr="001F476C">
        <w:rPr>
          <w:color w:val="000000" w:themeColor="text1"/>
        </w:rPr>
        <w:t>wyśle</w:t>
      </w:r>
      <w:r w:rsidRPr="001F476C">
        <w:rPr>
          <w:color w:val="000000" w:themeColor="text1"/>
        </w:rPr>
        <w:t xml:space="preserve"> informacje do operatora</w:t>
      </w:r>
    </w:p>
    <w:p w14:paraId="2440AFED" w14:textId="77777777" w:rsidR="00EB3123" w:rsidRPr="001F476C" w:rsidRDefault="00EB3123" w:rsidP="00EB3123">
      <w:pPr>
        <w:pStyle w:val="Akapitzlist"/>
        <w:numPr>
          <w:ilvl w:val="0"/>
          <w:numId w:val="8"/>
        </w:numPr>
        <w:spacing w:line="276" w:lineRule="auto"/>
        <w:ind w:left="1276" w:hanging="425"/>
        <w:jc w:val="both"/>
        <w:rPr>
          <w:color w:val="000000" w:themeColor="text1"/>
        </w:rPr>
      </w:pPr>
      <w:r w:rsidRPr="001F476C">
        <w:rPr>
          <w:color w:val="000000" w:themeColor="text1"/>
        </w:rPr>
        <w:t>Stacja wyposażona w wyłącznik awaryjny.</w:t>
      </w:r>
    </w:p>
    <w:p w14:paraId="6FF7D69A" w14:textId="13E728AB" w:rsidR="00EB3123" w:rsidRPr="001F476C" w:rsidRDefault="00EB3123" w:rsidP="001F476C">
      <w:pPr>
        <w:pStyle w:val="Akapitzlist"/>
        <w:spacing w:after="0" w:line="276" w:lineRule="auto"/>
        <w:ind w:left="1440"/>
        <w:contextualSpacing w:val="0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Obudowa: </w:t>
      </w:r>
      <w:r w:rsidR="00A040AE" w:rsidRPr="001F476C">
        <w:rPr>
          <w:rFonts w:eastAsia="Calibri" w:cstheme="minorHAnsi"/>
          <w:color w:val="000000" w:themeColor="text1"/>
          <w:kern w:val="0"/>
          <w14:ligatures w14:val="none"/>
        </w:rPr>
        <w:t>,</w:t>
      </w:r>
    </w:p>
    <w:p w14:paraId="25B10646" w14:textId="2547023E" w:rsidR="00A040AE" w:rsidRPr="001F476C" w:rsidRDefault="00A040AE" w:rsidP="0043198E">
      <w:pPr>
        <w:numPr>
          <w:ilvl w:val="1"/>
          <w:numId w:val="27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  <w:r w:rsidRPr="001F476C">
        <w:rPr>
          <w:rFonts w:eastAsia="Calibri" w:cstheme="minorHAnsi"/>
          <w:color w:val="000000" w:themeColor="text1"/>
          <w:kern w:val="0"/>
          <w14:ligatures w14:val="none"/>
        </w:rPr>
        <w:t>materiał –aluminium,</w:t>
      </w:r>
    </w:p>
    <w:p w14:paraId="035E0568" w14:textId="12A0250A" w:rsidR="00BF3DEA" w:rsidRPr="001F476C" w:rsidRDefault="00EB3123" w:rsidP="00BF3DEA">
      <w:pPr>
        <w:numPr>
          <w:ilvl w:val="1"/>
          <w:numId w:val="27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  <w:r w:rsidRPr="001F476C">
        <w:rPr>
          <w:rFonts w:eastAsia="Calibri" w:cstheme="minorHAnsi"/>
          <w:color w:val="000000" w:themeColor="text1"/>
          <w:kern w:val="0"/>
          <w14:ligatures w14:val="none"/>
        </w:rPr>
        <w:t xml:space="preserve">możliwość umieszczenia własnego Podświetlanego Logo ,na obudowie stacji </w:t>
      </w:r>
    </w:p>
    <w:p w14:paraId="7E54AAEC" w14:textId="1661136D" w:rsidR="00BF3DEA" w:rsidRPr="001F476C" w:rsidRDefault="00BF3DEA" w:rsidP="0043198E">
      <w:pPr>
        <w:numPr>
          <w:ilvl w:val="1"/>
          <w:numId w:val="27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  <w:r w:rsidRPr="001F476C">
        <w:rPr>
          <w:color w:val="000000" w:themeColor="text1"/>
        </w:rPr>
        <w:t xml:space="preserve">przystosowana do korzystania </w:t>
      </w:r>
      <w:r w:rsidR="001F476C" w:rsidRPr="001F476C">
        <w:rPr>
          <w:color w:val="000000" w:themeColor="text1"/>
        </w:rPr>
        <w:t>przez</w:t>
      </w:r>
      <w:r w:rsidRPr="001F476C">
        <w:rPr>
          <w:color w:val="000000" w:themeColor="text1"/>
        </w:rPr>
        <w:t xml:space="preserve"> osoby niepełnosprawne</w:t>
      </w:r>
    </w:p>
    <w:p w14:paraId="62E2B832" w14:textId="4A29063E" w:rsidR="00BF3DEA" w:rsidRPr="001F476C" w:rsidRDefault="00EB3123" w:rsidP="00BF3DEA">
      <w:pPr>
        <w:numPr>
          <w:ilvl w:val="1"/>
          <w:numId w:val="27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  <w:r w:rsidRPr="001F476C">
        <w:rPr>
          <w:rFonts w:eastAsia="Calibri" w:cstheme="minorHAnsi"/>
          <w:color w:val="000000" w:themeColor="text1"/>
          <w:kern w:val="0"/>
          <w14:ligatures w14:val="none"/>
        </w:rPr>
        <w:t>materiał z którego jest wykonana obudowa musi umożliwiać jej oklejenie</w:t>
      </w:r>
    </w:p>
    <w:p w14:paraId="522FB38F" w14:textId="77777777" w:rsidR="00BF3DEA" w:rsidRPr="001F476C" w:rsidRDefault="00BF3DEA" w:rsidP="008C31CF">
      <w:pPr>
        <w:spacing w:after="0" w:line="276" w:lineRule="auto"/>
        <w:ind w:left="1440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</w:p>
    <w:p w14:paraId="0A06EAC8" w14:textId="49D02A6D" w:rsidR="000709CA" w:rsidRPr="001F476C" w:rsidRDefault="000709CA" w:rsidP="000709CA">
      <w:pPr>
        <w:spacing w:after="0" w:line="276" w:lineRule="auto"/>
        <w:ind w:left="1080"/>
        <w:rPr>
          <w:rFonts w:cstheme="minorHAnsi"/>
          <w:color w:val="000000" w:themeColor="text1"/>
        </w:rPr>
      </w:pPr>
    </w:p>
    <w:p w14:paraId="55EB4635" w14:textId="77D000BA" w:rsidR="00E34089" w:rsidRPr="001F476C" w:rsidRDefault="00E34089" w:rsidP="00FF4DBC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1F476C">
        <w:rPr>
          <w:b/>
          <w:bCs/>
          <w:color w:val="000000" w:themeColor="text1"/>
        </w:rPr>
        <w:t>Szczegółowe wymagani w zakresie dar</w:t>
      </w:r>
      <w:r w:rsidR="00FF4DBC" w:rsidRPr="001F476C">
        <w:rPr>
          <w:b/>
          <w:bCs/>
          <w:color w:val="000000" w:themeColor="text1"/>
        </w:rPr>
        <w:t xml:space="preserve">mowej dożywotnia aplikacji do </w:t>
      </w:r>
      <w:r w:rsidR="00494E26" w:rsidRPr="001F476C">
        <w:rPr>
          <w:b/>
          <w:bCs/>
          <w:color w:val="000000" w:themeColor="text1"/>
        </w:rPr>
        <w:t>monitoringu</w:t>
      </w:r>
      <w:r w:rsidR="00494E26" w:rsidRPr="001F476C">
        <w:rPr>
          <w:color w:val="000000" w:themeColor="text1"/>
        </w:rPr>
        <w:t xml:space="preserve"> </w:t>
      </w:r>
      <w:r w:rsidR="00FF4DBC" w:rsidRPr="001F476C">
        <w:rPr>
          <w:b/>
          <w:bCs/>
          <w:color w:val="000000" w:themeColor="text1"/>
        </w:rPr>
        <w:t>stacjami ładownia posiadająca następujące funkcjonalności:</w:t>
      </w:r>
      <w:r w:rsidR="005228A7" w:rsidRPr="001F476C">
        <w:rPr>
          <w:b/>
          <w:bCs/>
          <w:color w:val="000000" w:themeColor="text1"/>
        </w:rPr>
        <w:t xml:space="preserve"> </w:t>
      </w:r>
    </w:p>
    <w:p w14:paraId="4C72D5EC" w14:textId="01B8D97C" w:rsidR="00E34089" w:rsidRPr="001F476C" w:rsidRDefault="00494E26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Kontrola </w:t>
      </w:r>
      <w:r w:rsidR="00E34089" w:rsidRPr="001F476C">
        <w:rPr>
          <w:color w:val="000000" w:themeColor="text1"/>
        </w:rPr>
        <w:t xml:space="preserve">z pośrednictwem przeglądarki internetowej na dowolnym urządzeniu (komputer, tablet, telefon komórkowy). </w:t>
      </w:r>
    </w:p>
    <w:p w14:paraId="6C859C3E" w14:textId="2B7C0B8B" w:rsidR="00E34089" w:rsidRPr="001F476C" w:rsidRDefault="00E34089" w:rsidP="00E34089">
      <w:pPr>
        <w:pStyle w:val="Akapitzlist"/>
        <w:numPr>
          <w:ilvl w:val="0"/>
          <w:numId w:val="28"/>
        </w:numPr>
        <w:spacing w:after="0" w:line="276" w:lineRule="auto"/>
        <w:contextualSpacing w:val="0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Interfejs użytkownika w min. czterech językach (polskim, angielskim, </w:t>
      </w:r>
      <w:r w:rsidR="00566F93" w:rsidRPr="001F476C">
        <w:rPr>
          <w:color w:val="000000" w:themeColor="text1"/>
        </w:rPr>
        <w:t>u</w:t>
      </w:r>
      <w:r w:rsidRPr="001F476C">
        <w:rPr>
          <w:color w:val="000000" w:themeColor="text1"/>
        </w:rPr>
        <w:t xml:space="preserve">kraińskim, niemiecki). </w:t>
      </w:r>
    </w:p>
    <w:p w14:paraId="5CC7EABC" w14:textId="77777777" w:rsidR="00E34089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Komunikacja ze stacją ładowania za pomocą protokołu OCPP 1.6. </w:t>
      </w:r>
    </w:p>
    <w:p w14:paraId="7C852401" w14:textId="77777777" w:rsidR="00E34089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uwierzytelnianie i autoryzacja użytkownika (administratora stacji ładowania), </w:t>
      </w:r>
    </w:p>
    <w:p w14:paraId="50B8A6D5" w14:textId="77777777" w:rsidR="00E34089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zdalne ponowne uruchomienie i aktualizacja oprogramowania sprzętowego stacji ładowania, </w:t>
      </w:r>
    </w:p>
    <w:p w14:paraId="2967B1A7" w14:textId="77777777" w:rsidR="00566F93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>przechowywanie informacji i odczytów otrzymanych ze stacji ładowania - takich jak status każdego złącza, chwilowy prąd ładowania, maksymalny możliwy prąd ładowania, chwilowe napięcie, procent ładowania i ilość zużytej energii elektrycznej oraz informacji serwisowych</w:t>
      </w:r>
      <w:r w:rsidR="005228A7" w:rsidRPr="001F476C">
        <w:rPr>
          <w:color w:val="000000" w:themeColor="text1"/>
        </w:rPr>
        <w:t xml:space="preserve">. </w:t>
      </w:r>
    </w:p>
    <w:p w14:paraId="56E50774" w14:textId="05C0F1C8" w:rsidR="00E34089" w:rsidRPr="001F476C" w:rsidRDefault="005228A7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>Tworzenie wykresów dla każdej sesji ładowania</w:t>
      </w:r>
      <w:r w:rsidR="00566F93" w:rsidRPr="001F476C">
        <w:rPr>
          <w:color w:val="000000" w:themeColor="text1"/>
        </w:rPr>
        <w:t xml:space="preserve"> (moc, prąd, napięcie)</w:t>
      </w:r>
      <w:r w:rsidRPr="001F476C">
        <w:rPr>
          <w:color w:val="000000" w:themeColor="text1"/>
        </w:rPr>
        <w:t>.</w:t>
      </w:r>
    </w:p>
    <w:p w14:paraId="7C7A0B01" w14:textId="77777777" w:rsidR="00E34089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reset stacji </w:t>
      </w:r>
    </w:p>
    <w:p w14:paraId="71052BDB" w14:textId="77777777" w:rsidR="00E34089" w:rsidRPr="001F476C" w:rsidRDefault="00E34089" w:rsidP="00E34089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 w:themeColor="text1"/>
        </w:rPr>
      </w:pPr>
      <w:r w:rsidRPr="001F476C">
        <w:rPr>
          <w:color w:val="000000" w:themeColor="text1"/>
        </w:rPr>
        <w:t xml:space="preserve">podgląd statusu stacji </w:t>
      </w:r>
    </w:p>
    <w:p w14:paraId="75DC2007" w14:textId="47D26B08" w:rsidR="004C6CA2" w:rsidRPr="001F476C" w:rsidRDefault="001F476C">
      <w:pPr>
        <w:rPr>
          <w:color w:val="000000" w:themeColor="text1"/>
        </w:rPr>
      </w:pPr>
      <w:r w:rsidRPr="001F476C">
        <w:rPr>
          <w:color w:val="000000" w:themeColor="text1"/>
        </w:rPr>
        <w:lastRenderedPageBreak/>
        <w:t>Firma realizując dostwę stacji ładowania musi wykazać się doświadczeniem polegającym na dostawie minimum 50 stacji ładowania samochodów elektryczny o specyfikacji identycznej ze wskazaną w niniejszym postepowaniu. Stacje o mocy mocy……</w:t>
      </w:r>
    </w:p>
    <w:sectPr w:rsidR="004C6CA2" w:rsidRPr="001F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422"/>
    <w:multiLevelType w:val="hybridMultilevel"/>
    <w:tmpl w:val="EFE01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047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FB7"/>
    <w:multiLevelType w:val="hybridMultilevel"/>
    <w:tmpl w:val="AE940144"/>
    <w:lvl w:ilvl="0" w:tplc="04150017">
      <w:start w:val="1"/>
      <w:numFmt w:val="lowerLetter"/>
      <w:lvlText w:val="%1)"/>
      <w:lvlJc w:val="lef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 w15:restartNumberingAfterBreak="0">
    <w:nsid w:val="0A447CF9"/>
    <w:multiLevelType w:val="hybridMultilevel"/>
    <w:tmpl w:val="4E383CA8"/>
    <w:lvl w:ilvl="0" w:tplc="04150017">
      <w:start w:val="1"/>
      <w:numFmt w:val="lowerLetter"/>
      <w:lvlText w:val="%1)"/>
      <w:lvlJc w:val="lef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3" w15:restartNumberingAfterBreak="0">
    <w:nsid w:val="0C5F53F8"/>
    <w:multiLevelType w:val="hybridMultilevel"/>
    <w:tmpl w:val="1E88C4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921BE"/>
    <w:multiLevelType w:val="hybridMultilevel"/>
    <w:tmpl w:val="4D5C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711"/>
    <w:multiLevelType w:val="hybridMultilevel"/>
    <w:tmpl w:val="5642B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23C1"/>
    <w:multiLevelType w:val="hybridMultilevel"/>
    <w:tmpl w:val="CD968D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AB281D"/>
    <w:multiLevelType w:val="hybridMultilevel"/>
    <w:tmpl w:val="758C0C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93499"/>
    <w:multiLevelType w:val="hybridMultilevel"/>
    <w:tmpl w:val="FDF2C1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C44DA"/>
    <w:multiLevelType w:val="hybridMultilevel"/>
    <w:tmpl w:val="4882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43BF"/>
    <w:multiLevelType w:val="hybridMultilevel"/>
    <w:tmpl w:val="88D48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6FC3"/>
    <w:multiLevelType w:val="hybridMultilevel"/>
    <w:tmpl w:val="BB6EE168"/>
    <w:lvl w:ilvl="0" w:tplc="04150011">
      <w:start w:val="1"/>
      <w:numFmt w:val="decimal"/>
      <w:lvlText w:val="%1)"/>
      <w:lvlJc w:val="lef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12" w15:restartNumberingAfterBreak="0">
    <w:nsid w:val="38AE3D86"/>
    <w:multiLevelType w:val="hybridMultilevel"/>
    <w:tmpl w:val="1146E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7E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704DC4"/>
    <w:multiLevelType w:val="multilevel"/>
    <w:tmpl w:val="85824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8C33283"/>
    <w:multiLevelType w:val="hybridMultilevel"/>
    <w:tmpl w:val="1EAAA46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4C2021EE"/>
    <w:multiLevelType w:val="hybridMultilevel"/>
    <w:tmpl w:val="44B2D5C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EE4EF7"/>
    <w:multiLevelType w:val="hybridMultilevel"/>
    <w:tmpl w:val="3CF6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EDB"/>
    <w:multiLevelType w:val="hybridMultilevel"/>
    <w:tmpl w:val="2F06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F6230"/>
    <w:multiLevelType w:val="hybridMultilevel"/>
    <w:tmpl w:val="8EF01AF2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0" w15:restartNumberingAfterBreak="0">
    <w:nsid w:val="5A745F33"/>
    <w:multiLevelType w:val="multilevel"/>
    <w:tmpl w:val="CD8E69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349CC"/>
    <w:multiLevelType w:val="hybridMultilevel"/>
    <w:tmpl w:val="A7480DE2"/>
    <w:lvl w:ilvl="0" w:tplc="04150017">
      <w:start w:val="1"/>
      <w:numFmt w:val="lowerLetter"/>
      <w:lvlText w:val="%1)"/>
      <w:lvlJc w:val="left"/>
      <w:pPr>
        <w:ind w:left="1537" w:hanging="360"/>
      </w:p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2" w15:restartNumberingAfterBreak="0">
    <w:nsid w:val="5E662DC8"/>
    <w:multiLevelType w:val="hybridMultilevel"/>
    <w:tmpl w:val="FE965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34B57"/>
    <w:multiLevelType w:val="hybridMultilevel"/>
    <w:tmpl w:val="221A9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0359"/>
    <w:multiLevelType w:val="hybridMultilevel"/>
    <w:tmpl w:val="1E866B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630A07"/>
    <w:multiLevelType w:val="hybridMultilevel"/>
    <w:tmpl w:val="D826A334"/>
    <w:lvl w:ilvl="0" w:tplc="2D047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265914"/>
    <w:multiLevelType w:val="hybridMultilevel"/>
    <w:tmpl w:val="FB3CDA72"/>
    <w:lvl w:ilvl="0" w:tplc="94E6A3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4066D"/>
    <w:multiLevelType w:val="hybridMultilevel"/>
    <w:tmpl w:val="8EFAA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8246372">
    <w:abstractNumId w:val="14"/>
  </w:num>
  <w:num w:numId="2" w16cid:durableId="475411718">
    <w:abstractNumId w:val="24"/>
  </w:num>
  <w:num w:numId="3" w16cid:durableId="462817114">
    <w:abstractNumId w:val="21"/>
  </w:num>
  <w:num w:numId="4" w16cid:durableId="1415860583">
    <w:abstractNumId w:val="19"/>
  </w:num>
  <w:num w:numId="5" w16cid:durableId="358316871">
    <w:abstractNumId w:val="11"/>
  </w:num>
  <w:num w:numId="6" w16cid:durableId="1668943627">
    <w:abstractNumId w:val="20"/>
  </w:num>
  <w:num w:numId="7" w16cid:durableId="139807529">
    <w:abstractNumId w:val="7"/>
  </w:num>
  <w:num w:numId="8" w16cid:durableId="7215285">
    <w:abstractNumId w:val="8"/>
  </w:num>
  <w:num w:numId="9" w16cid:durableId="1690331339">
    <w:abstractNumId w:val="3"/>
  </w:num>
  <w:num w:numId="10" w16cid:durableId="470483387">
    <w:abstractNumId w:val="6"/>
  </w:num>
  <w:num w:numId="11" w16cid:durableId="1003512926">
    <w:abstractNumId w:val="27"/>
  </w:num>
  <w:num w:numId="12" w16cid:durableId="1446801632">
    <w:abstractNumId w:val="5"/>
  </w:num>
  <w:num w:numId="13" w16cid:durableId="13574559">
    <w:abstractNumId w:val="1"/>
  </w:num>
  <w:num w:numId="14" w16cid:durableId="1238788026">
    <w:abstractNumId w:val="2"/>
  </w:num>
  <w:num w:numId="15" w16cid:durableId="783378687">
    <w:abstractNumId w:val="15"/>
  </w:num>
  <w:num w:numId="16" w16cid:durableId="536891482">
    <w:abstractNumId w:val="13"/>
  </w:num>
  <w:num w:numId="17" w16cid:durableId="253902712">
    <w:abstractNumId w:val="10"/>
  </w:num>
  <w:num w:numId="18" w16cid:durableId="934095986">
    <w:abstractNumId w:val="22"/>
  </w:num>
  <w:num w:numId="19" w16cid:durableId="529996324">
    <w:abstractNumId w:val="4"/>
  </w:num>
  <w:num w:numId="20" w16cid:durableId="231046832">
    <w:abstractNumId w:val="23"/>
  </w:num>
  <w:num w:numId="21" w16cid:durableId="2111704489">
    <w:abstractNumId w:val="18"/>
  </w:num>
  <w:num w:numId="22" w16cid:durableId="1397707585">
    <w:abstractNumId w:val="12"/>
  </w:num>
  <w:num w:numId="23" w16cid:durableId="1790541344">
    <w:abstractNumId w:val="25"/>
  </w:num>
  <w:num w:numId="24" w16cid:durableId="1515921666">
    <w:abstractNumId w:val="9"/>
  </w:num>
  <w:num w:numId="25" w16cid:durableId="2010914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2310515">
    <w:abstractNumId w:val="17"/>
  </w:num>
  <w:num w:numId="27" w16cid:durableId="810172372">
    <w:abstractNumId w:val="0"/>
  </w:num>
  <w:num w:numId="28" w16cid:durableId="1921210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32"/>
    <w:rsid w:val="000266E4"/>
    <w:rsid w:val="000600D8"/>
    <w:rsid w:val="000709CA"/>
    <w:rsid w:val="000C75C4"/>
    <w:rsid w:val="000F06A7"/>
    <w:rsid w:val="00103922"/>
    <w:rsid w:val="001068D5"/>
    <w:rsid w:val="001131BB"/>
    <w:rsid w:val="001217F9"/>
    <w:rsid w:val="00146C78"/>
    <w:rsid w:val="001627BB"/>
    <w:rsid w:val="0016472D"/>
    <w:rsid w:val="001736BF"/>
    <w:rsid w:val="001959AF"/>
    <w:rsid w:val="001C0B61"/>
    <w:rsid w:val="001F476C"/>
    <w:rsid w:val="00206A19"/>
    <w:rsid w:val="00237559"/>
    <w:rsid w:val="00242131"/>
    <w:rsid w:val="00263670"/>
    <w:rsid w:val="00294875"/>
    <w:rsid w:val="002A3B61"/>
    <w:rsid w:val="003079EB"/>
    <w:rsid w:val="00356AE8"/>
    <w:rsid w:val="00373441"/>
    <w:rsid w:val="003F3300"/>
    <w:rsid w:val="003F3695"/>
    <w:rsid w:val="0041271E"/>
    <w:rsid w:val="0041310D"/>
    <w:rsid w:val="00421E74"/>
    <w:rsid w:val="00425A4E"/>
    <w:rsid w:val="0043198E"/>
    <w:rsid w:val="00434EF8"/>
    <w:rsid w:val="0046116F"/>
    <w:rsid w:val="00494E26"/>
    <w:rsid w:val="004C4A26"/>
    <w:rsid w:val="004C6CA2"/>
    <w:rsid w:val="004E3E67"/>
    <w:rsid w:val="00500E8B"/>
    <w:rsid w:val="005228A7"/>
    <w:rsid w:val="00535289"/>
    <w:rsid w:val="00566F93"/>
    <w:rsid w:val="005D0E65"/>
    <w:rsid w:val="006175CA"/>
    <w:rsid w:val="00654D87"/>
    <w:rsid w:val="006868C7"/>
    <w:rsid w:val="00692132"/>
    <w:rsid w:val="00697550"/>
    <w:rsid w:val="006A0E03"/>
    <w:rsid w:val="006A3542"/>
    <w:rsid w:val="006A6FF7"/>
    <w:rsid w:val="006C4C2D"/>
    <w:rsid w:val="006C6DDB"/>
    <w:rsid w:val="00746E53"/>
    <w:rsid w:val="007759F3"/>
    <w:rsid w:val="007B3FF0"/>
    <w:rsid w:val="007F3E14"/>
    <w:rsid w:val="00801688"/>
    <w:rsid w:val="0082729C"/>
    <w:rsid w:val="00847568"/>
    <w:rsid w:val="008C31CF"/>
    <w:rsid w:val="008D6F20"/>
    <w:rsid w:val="009128EC"/>
    <w:rsid w:val="00933692"/>
    <w:rsid w:val="00945850"/>
    <w:rsid w:val="0096551C"/>
    <w:rsid w:val="00971AF8"/>
    <w:rsid w:val="009A7DA1"/>
    <w:rsid w:val="009B368F"/>
    <w:rsid w:val="009C2BEA"/>
    <w:rsid w:val="009E05A2"/>
    <w:rsid w:val="00A040AE"/>
    <w:rsid w:val="00A40300"/>
    <w:rsid w:val="00A87650"/>
    <w:rsid w:val="00AE0A74"/>
    <w:rsid w:val="00B24ECA"/>
    <w:rsid w:val="00B31DC0"/>
    <w:rsid w:val="00B429AD"/>
    <w:rsid w:val="00B50E74"/>
    <w:rsid w:val="00BC79F9"/>
    <w:rsid w:val="00BE0AAC"/>
    <w:rsid w:val="00BE4C90"/>
    <w:rsid w:val="00BF3DEA"/>
    <w:rsid w:val="00C50924"/>
    <w:rsid w:val="00C73E66"/>
    <w:rsid w:val="00C77534"/>
    <w:rsid w:val="00C87EAA"/>
    <w:rsid w:val="00CE4E99"/>
    <w:rsid w:val="00D80631"/>
    <w:rsid w:val="00D87444"/>
    <w:rsid w:val="00DF6D71"/>
    <w:rsid w:val="00E34089"/>
    <w:rsid w:val="00E53693"/>
    <w:rsid w:val="00E677AB"/>
    <w:rsid w:val="00E72A10"/>
    <w:rsid w:val="00EB3123"/>
    <w:rsid w:val="00F0593C"/>
    <w:rsid w:val="00F42BA9"/>
    <w:rsid w:val="00FA12E0"/>
    <w:rsid w:val="00FA1D11"/>
    <w:rsid w:val="00FA76D7"/>
    <w:rsid w:val="00FF2A32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5B7F"/>
  <w15:chartTrackingRefBased/>
  <w15:docId w15:val="{207A78F7-9E8C-4E58-AB81-9D6EE05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CA2"/>
    <w:pPr>
      <w:ind w:left="720"/>
      <w:contextualSpacing/>
    </w:pPr>
  </w:style>
  <w:style w:type="paragraph" w:customStyle="1" w:styleId="Default">
    <w:name w:val="Default"/>
    <w:rsid w:val="00EB31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Mierzwa</dc:creator>
  <cp:keywords/>
  <dc:description/>
  <cp:lastModifiedBy>j.piorun</cp:lastModifiedBy>
  <cp:revision>16</cp:revision>
  <dcterms:created xsi:type="dcterms:W3CDTF">2024-11-21T13:26:00Z</dcterms:created>
  <dcterms:modified xsi:type="dcterms:W3CDTF">2025-08-04T10:45:00Z</dcterms:modified>
</cp:coreProperties>
</file>